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74DCF784" w14:textId="77777777" w:rsidTr="0041512A">
        <w:tc>
          <w:tcPr>
            <w:tcW w:w="2263" w:type="dxa"/>
          </w:tcPr>
          <w:p w14:paraId="5445D519" w14:textId="2AA2E8CE" w:rsidR="0041512A" w:rsidRDefault="00A136B5" w:rsidP="0041512A">
            <w:pPr>
              <w:spacing w:before="120" w:after="120"/>
            </w:pPr>
            <w:hyperlink r:id="rId5" w:history="1">
              <w:r w:rsidR="006C1559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160CFF2B" w14:textId="77777777" w:rsidR="0041512A" w:rsidRPr="00F850A2" w:rsidRDefault="006672C5" w:rsidP="0041512A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Villaggio turistico</w:t>
            </w:r>
          </w:p>
        </w:tc>
        <w:tc>
          <w:tcPr>
            <w:tcW w:w="1979" w:type="dxa"/>
          </w:tcPr>
          <w:p w14:paraId="0BA5DB5B" w14:textId="4A8E3C7C" w:rsidR="0041512A" w:rsidRPr="0041512A" w:rsidRDefault="00A136B5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="004E1091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7250717D" w14:textId="77777777" w:rsidTr="0041512A">
        <w:tc>
          <w:tcPr>
            <w:tcW w:w="9629" w:type="dxa"/>
            <w:gridSpan w:val="3"/>
          </w:tcPr>
          <w:p w14:paraId="5C106B67" w14:textId="18BE0CE4" w:rsidR="00F33A15" w:rsidRPr="00DF19C7" w:rsidRDefault="00DF19C7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DF19C7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7CF53059" w14:textId="77777777" w:rsidR="006672C5" w:rsidRPr="006672C5" w:rsidRDefault="006672C5" w:rsidP="006672C5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672C5">
              <w:rPr>
                <w:color w:val="000000"/>
                <w:sz w:val="20"/>
                <w:szCs w:val="20"/>
                <w:u w:val="none"/>
              </w:rPr>
              <w:t>È un’azienda ricettiva all'aria aperta a gestione unitaria, aperta al pubblico, che, in aree recintate 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672C5">
              <w:rPr>
                <w:color w:val="000000"/>
                <w:sz w:val="20"/>
                <w:szCs w:val="20"/>
                <w:u w:val="none"/>
              </w:rPr>
              <w:t>attrezzate, fornisce alloggio in propri allestimenti o offre ospitalità in piazzole attrezzate alla sosta 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672C5">
              <w:rPr>
                <w:color w:val="000000"/>
                <w:sz w:val="20"/>
                <w:szCs w:val="20"/>
                <w:u w:val="none"/>
              </w:rPr>
              <w:t>al rimessaggio di tende o altri mezzi di pernottamento mobili di proprietà di turisti.</w:t>
            </w:r>
          </w:p>
          <w:p w14:paraId="654CAFAE" w14:textId="77777777" w:rsidR="00F72F90" w:rsidRPr="006672C5" w:rsidRDefault="006672C5" w:rsidP="006672C5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  <w:r w:rsidRPr="006672C5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 xml:space="preserve">Sono villaggi turistici </w:t>
            </w:r>
            <w:r w:rsidRPr="006672C5">
              <w:rPr>
                <w:color w:val="000000"/>
                <w:sz w:val="20"/>
                <w:szCs w:val="20"/>
                <w:u w:val="none"/>
              </w:rPr>
              <w:t>le strutture ricettive che offrono ospitalità prevalentemente in allestimenti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672C5">
              <w:rPr>
                <w:color w:val="000000"/>
                <w:sz w:val="20"/>
                <w:szCs w:val="20"/>
                <w:u w:val="none"/>
              </w:rPr>
              <w:t>messi a disposizione dal gestore e costituiti da unità abitative fisse o mobili, inserite in piazzole.</w:t>
            </w:r>
          </w:p>
          <w:p w14:paraId="49FC8F09" w14:textId="77777777" w:rsidR="006672C5" w:rsidRDefault="006672C5" w:rsidP="006672C5">
            <w:pPr>
              <w:ind w:left="174" w:right="312"/>
              <w:jc w:val="both"/>
              <w:rPr>
                <w:b/>
                <w:color w:val="FF0000"/>
                <w:sz w:val="24"/>
                <w:szCs w:val="24"/>
                <w:u w:val="none"/>
              </w:rPr>
            </w:pPr>
          </w:p>
          <w:p w14:paraId="74AC1819" w14:textId="77777777" w:rsidR="00DF19C7" w:rsidRPr="00AB4C12" w:rsidRDefault="00DF19C7" w:rsidP="00DF19C7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09257B56" w14:textId="77777777" w:rsidR="00DF19C7" w:rsidRPr="00F73D96" w:rsidRDefault="00DF19C7" w:rsidP="00DF19C7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1993FFE3" w14:textId="77777777" w:rsidR="006852B6" w:rsidRDefault="00A136B5" w:rsidP="006852B6">
            <w:pPr>
              <w:pStyle w:val="Paragrafoelenco"/>
              <w:numPr>
                <w:ilvl w:val="0"/>
                <w:numId w:val="11"/>
              </w:numPr>
              <w:spacing w:line="256" w:lineRule="auto"/>
              <w:rPr>
                <w:rStyle w:val="Collegamentoipertestuale"/>
                <w:b/>
                <w:sz w:val="24"/>
                <w:szCs w:val="24"/>
              </w:rPr>
            </w:pPr>
            <w:hyperlink r:id="rId7" w:history="1">
              <w:r w:rsidR="006852B6">
                <w:rPr>
                  <w:rStyle w:val="Collegamentoipertestuale"/>
                  <w:b/>
                  <w:sz w:val="24"/>
                  <w:szCs w:val="24"/>
                </w:rPr>
                <w:t>Programmazione economica-commerciale del PGT</w:t>
              </w:r>
            </w:hyperlink>
          </w:p>
          <w:p w14:paraId="78A8CBA5" w14:textId="3F256B59" w:rsidR="00436374" w:rsidRPr="00DB2622" w:rsidRDefault="00436374" w:rsidP="00436374">
            <w:pPr>
              <w:pStyle w:val="Paragrafoelenco"/>
              <w:spacing w:before="120" w:after="120"/>
              <w:ind w:left="524"/>
              <w:rPr>
                <w:b/>
                <w:color w:val="C00000"/>
                <w:sz w:val="12"/>
                <w:szCs w:val="12"/>
                <w:u w:val="none"/>
              </w:rPr>
            </w:pPr>
          </w:p>
          <w:p w14:paraId="7E997851" w14:textId="48747F4F" w:rsidR="00436374" w:rsidRPr="00E917B9" w:rsidRDefault="00E917B9" w:rsidP="00436374">
            <w:pPr>
              <w:pStyle w:val="Paragrafoelenco"/>
              <w:numPr>
                <w:ilvl w:val="0"/>
                <w:numId w:val="10"/>
              </w:numPr>
              <w:spacing w:before="120"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"Definizioni/3ST%20Requisiti%20soggettivi.pdf"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36374" w:rsidRPr="00E917B9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60A9B389" w14:textId="42BFD96B" w:rsidR="00436374" w:rsidRPr="00F73D96" w:rsidRDefault="00E917B9" w:rsidP="00436374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69596F33" w14:textId="2978241D" w:rsidR="00436374" w:rsidRPr="00E917B9" w:rsidRDefault="00E917B9" w:rsidP="00436374">
            <w:pPr>
              <w:pStyle w:val="Paragrafoelenco"/>
              <w:numPr>
                <w:ilvl w:val="0"/>
                <w:numId w:val="10"/>
              </w:numPr>
              <w:spacing w:before="120"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"Definizioni/4ST%20Requisiti%20professionali.pdf"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36374" w:rsidRPr="00E917B9">
              <w:rPr>
                <w:rStyle w:val="Collegamentoipertestuale"/>
                <w:b/>
                <w:sz w:val="24"/>
                <w:szCs w:val="24"/>
              </w:rPr>
              <w:t>Requisiti professionali</w:t>
            </w:r>
          </w:p>
          <w:p w14:paraId="651AC9B2" w14:textId="2B17DCE6" w:rsidR="00DF19C7" w:rsidRPr="00F73D96" w:rsidRDefault="00E917B9" w:rsidP="00DF19C7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4FB89744" w14:textId="63C0D2EA" w:rsidR="00DF19C7" w:rsidRPr="003E1DD5" w:rsidRDefault="00DF19C7" w:rsidP="00DF19C7">
            <w:pPr>
              <w:pStyle w:val="Paragrafoelenco"/>
              <w:numPr>
                <w:ilvl w:val="0"/>
                <w:numId w:val="10"/>
              </w:numPr>
              <w:ind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3E1DD5">
              <w:rPr>
                <w:b/>
                <w:color w:val="FF0000"/>
                <w:sz w:val="24"/>
                <w:szCs w:val="24"/>
                <w:u w:val="none"/>
              </w:rPr>
              <w:t xml:space="preserve">Requisiti oggettivi - </w:t>
            </w:r>
            <w:r w:rsidRPr="003E1DD5">
              <w:rPr>
                <w:color w:val="auto"/>
                <w:sz w:val="20"/>
                <w:szCs w:val="20"/>
                <w:u w:val="none"/>
              </w:rPr>
              <w:t xml:space="preserve">Nei </w:t>
            </w:r>
            <w:r>
              <w:rPr>
                <w:color w:val="auto"/>
                <w:sz w:val="20"/>
                <w:szCs w:val="20"/>
                <w:u w:val="none"/>
              </w:rPr>
              <w:t>Villaggi Turistici</w:t>
            </w:r>
            <w:r w:rsidRPr="003E1DD5">
              <w:rPr>
                <w:color w:val="auto"/>
                <w:sz w:val="20"/>
                <w:szCs w:val="20"/>
                <w:u w:val="none"/>
              </w:rPr>
              <w:t xml:space="preserve"> è consentita la presenza di allestimenti minimi utilizzabili da clienti provvisti di </w:t>
            </w:r>
            <w:r>
              <w:rPr>
                <w:color w:val="auto"/>
                <w:sz w:val="20"/>
                <w:szCs w:val="20"/>
                <w:u w:val="none"/>
              </w:rPr>
              <w:t xml:space="preserve">propri </w:t>
            </w:r>
            <w:r w:rsidRPr="003E1DD5">
              <w:rPr>
                <w:color w:val="auto"/>
                <w:sz w:val="20"/>
                <w:szCs w:val="20"/>
                <w:u w:val="none"/>
              </w:rPr>
              <w:t xml:space="preserve">mezzi </w:t>
            </w:r>
            <w:r>
              <w:rPr>
                <w:color w:val="auto"/>
                <w:sz w:val="20"/>
                <w:szCs w:val="20"/>
                <w:u w:val="none"/>
              </w:rPr>
              <w:t xml:space="preserve">mobili di </w:t>
            </w:r>
            <w:r w:rsidRPr="003E1DD5">
              <w:rPr>
                <w:color w:val="auto"/>
                <w:sz w:val="20"/>
                <w:szCs w:val="20"/>
                <w:u w:val="none"/>
              </w:rPr>
              <w:t>pernottamento, purché in misura non superiore al trenta per cento del numero complessivo delle piazzole autorizzate.</w:t>
            </w:r>
          </w:p>
          <w:p w14:paraId="778FF13A" w14:textId="77777777" w:rsidR="00DF19C7" w:rsidRPr="003E1DD5" w:rsidRDefault="00DF19C7" w:rsidP="00DF19C7">
            <w:pPr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Deve essere assicurato il rispetto delle norme igienico-sanitarie e, in particolare, un adeguato rapporto tra </w:t>
            </w:r>
            <w:r w:rsidRPr="003E1DD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servizi igienici e numero di utenti</w:t>
            </w: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682642FE" w14:textId="77777777" w:rsidR="00DF19C7" w:rsidRPr="003E1DD5" w:rsidRDefault="00DF19C7" w:rsidP="00DF19C7">
            <w:pPr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È obbligatorio il rispetto di tutte le normative vigenti in materia di accessibilità alle persone con ridotta capacità motoria, sensoriale e intellettiva.</w:t>
            </w:r>
          </w:p>
          <w:p w14:paraId="1EE4ED1B" w14:textId="77777777" w:rsidR="00DF19C7" w:rsidRPr="003E1DD5" w:rsidRDefault="00DF19C7" w:rsidP="00DF19C7">
            <w:pPr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Devono essere </w:t>
            </w:r>
            <w:r w:rsidRPr="003E1DD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rispettate le norme e le prescrizioni specifiche dell’attività, </w:t>
            </w: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esempio quelle in materia di urbanistica, igiene pubblica, igiene edilizia, tutela ambientale, tutela della salute nei luoghi di lavoro, sicurezza alimentare, regolamenti locali di polizia urbana annonaria.</w:t>
            </w:r>
          </w:p>
          <w:p w14:paraId="4F68EEB0" w14:textId="77777777" w:rsidR="00DF19C7" w:rsidRPr="003E1DD5" w:rsidRDefault="00DF19C7" w:rsidP="00DF19C7">
            <w:pPr>
              <w:spacing w:after="120"/>
              <w:ind w:left="589" w:right="312"/>
              <w:jc w:val="both"/>
              <w:rPr>
                <w:rFonts w:eastAsia="Times New Roman"/>
                <w:b/>
                <w:i/>
                <w:color w:val="0000FF"/>
                <w:sz w:val="20"/>
                <w:szCs w:val="20"/>
                <w:u w:val="none"/>
                <w:lang w:eastAsia="it-IT"/>
              </w:rPr>
            </w:pP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strutture ricettive all'aria aperta devono possedere i requisiti </w:t>
            </w:r>
            <w:r w:rsidRPr="003E1DD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generali</w:t>
            </w: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, </w:t>
            </w:r>
            <w:r w:rsidRPr="003E1DD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strutturali </w:t>
            </w: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e </w:t>
            </w:r>
            <w:r w:rsidRPr="003E1DD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igienico sanitari</w:t>
            </w:r>
            <w:r w:rsidRPr="003E1D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 elencati dall’ </w:t>
            </w:r>
            <w:hyperlink r:id="rId8" w:history="1">
              <w:r w:rsidRPr="003E1DD5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 xml:space="preserve">allegato A del </w:t>
              </w:r>
              <w:r w:rsidRPr="003E1DD5">
                <w:rPr>
                  <w:rStyle w:val="Collegamentoipertestuale"/>
                  <w:b/>
                  <w:sz w:val="20"/>
                  <w:szCs w:val="20"/>
                  <w:u w:val="none"/>
                </w:rPr>
                <w:t>R.R. del 19/01/2018 n. 3.</w:t>
              </w:r>
            </w:hyperlink>
          </w:p>
          <w:p w14:paraId="0B784DF8" w14:textId="39C38DD1" w:rsidR="00436374" w:rsidRPr="00DB7AB4" w:rsidRDefault="00A136B5" w:rsidP="00436374">
            <w:pPr>
              <w:pStyle w:val="Paragrafoelenco"/>
              <w:numPr>
                <w:ilvl w:val="0"/>
                <w:numId w:val="10"/>
              </w:numPr>
              <w:spacing w:after="120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  <w:hyperlink r:id="rId9" w:history="1">
              <w:r w:rsidR="00436374" w:rsidRPr="00360D0A">
                <w:rPr>
                  <w:rStyle w:val="Collegamentoipertestuale"/>
                  <w:rFonts w:eastAsia="Times New Roman"/>
                  <w:b/>
                  <w:sz w:val="24"/>
                  <w:szCs w:val="24"/>
                  <w:lang w:eastAsia="it-IT"/>
                </w:rPr>
                <w:t>Classificazione struttura ricettiva</w:t>
              </w:r>
            </w:hyperlink>
          </w:p>
          <w:p w14:paraId="2153E51C" w14:textId="77777777" w:rsidR="00436374" w:rsidRPr="00360D0A" w:rsidRDefault="00436374" w:rsidP="00436374">
            <w:pPr>
              <w:pStyle w:val="Paragrafoelenco"/>
              <w:ind w:left="524" w:right="318"/>
              <w:jc w:val="both"/>
              <w:rPr>
                <w:rFonts w:eastAsia="Times New Roman"/>
                <w:b/>
                <w:bCs/>
                <w:i/>
                <w:color w:val="FF0000"/>
                <w:sz w:val="12"/>
                <w:szCs w:val="12"/>
                <w:lang w:eastAsia="it-IT"/>
              </w:rPr>
            </w:pPr>
          </w:p>
          <w:p w14:paraId="2A8917A0" w14:textId="264999D0" w:rsidR="00436374" w:rsidRPr="00D12D07" w:rsidRDefault="00A136B5" w:rsidP="00436374">
            <w:pPr>
              <w:pStyle w:val="Paragrafoelenco"/>
              <w:numPr>
                <w:ilvl w:val="0"/>
                <w:numId w:val="10"/>
              </w:numPr>
              <w:ind w:right="318"/>
              <w:jc w:val="both"/>
              <w:rPr>
                <w:rFonts w:eastAsia="Times New Roman"/>
                <w:b/>
                <w:bCs/>
                <w:i/>
                <w:color w:val="FF0000"/>
                <w:sz w:val="24"/>
                <w:szCs w:val="24"/>
                <w:lang w:eastAsia="it-IT"/>
              </w:rPr>
            </w:pPr>
            <w:hyperlink r:id="rId10" w:history="1">
              <w:r w:rsidR="00436374" w:rsidRPr="00D12D07">
                <w:rPr>
                  <w:rStyle w:val="Collegamentoipertestuale"/>
                  <w:b/>
                  <w:bCs/>
                  <w:sz w:val="24"/>
                  <w:szCs w:val="24"/>
                </w:rPr>
                <w:t>Attività accessorie o complementari</w:t>
              </w:r>
            </w:hyperlink>
          </w:p>
          <w:p w14:paraId="685C0E4B" w14:textId="77777777" w:rsidR="00436374" w:rsidRPr="00D12D07" w:rsidRDefault="00436374" w:rsidP="00436374">
            <w:pPr>
              <w:pStyle w:val="Paragrafoelenco"/>
              <w:spacing w:before="120" w:after="120"/>
              <w:ind w:left="524"/>
              <w:rPr>
                <w:b/>
                <w:bCs/>
                <w:color w:val="0000FF"/>
                <w:sz w:val="12"/>
                <w:szCs w:val="12"/>
              </w:rPr>
            </w:pPr>
          </w:p>
          <w:p w14:paraId="2E9D43CA" w14:textId="51D210AE" w:rsidR="00436374" w:rsidRPr="00691B89" w:rsidRDefault="00436374" w:rsidP="00436374">
            <w:pPr>
              <w:pStyle w:val="Paragrafoelenco"/>
              <w:numPr>
                <w:ilvl w:val="0"/>
                <w:numId w:val="10"/>
              </w:numPr>
              <w:spacing w:before="120" w:after="120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E917B9">
              <w:rPr>
                <w:b/>
                <w:bCs/>
                <w:sz w:val="24"/>
                <w:szCs w:val="24"/>
              </w:rPr>
              <w:instrText>HYPERLINK "Definizioni/7ST%20Prevenzione%20incendi%20alberghi.pdf"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691B89">
              <w:rPr>
                <w:rStyle w:val="Collegamentoipertestuale"/>
                <w:b/>
                <w:bCs/>
                <w:sz w:val="24"/>
                <w:szCs w:val="24"/>
              </w:rPr>
              <w:t>Prevenzione incendi</w:t>
            </w:r>
          </w:p>
          <w:p w14:paraId="67F4E58E" w14:textId="623E6F7A" w:rsidR="00DF19C7" w:rsidRPr="00DF19C7" w:rsidRDefault="00436374" w:rsidP="00436374">
            <w:pPr>
              <w:pStyle w:val="Paragrafoelenco"/>
              <w:rPr>
                <w:rStyle w:val="Collegamentoipertestuale"/>
                <w:b/>
                <w:color w:val="C00000"/>
                <w:u w:val="none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33DF672" w14:textId="4945B43B" w:rsidR="00E72770" w:rsidRPr="00DF19C7" w:rsidRDefault="00E72770" w:rsidP="00E72770">
            <w:pPr>
              <w:pStyle w:val="Rientrocorpodeltesto"/>
              <w:ind w:left="164"/>
              <w:jc w:val="both"/>
              <w:rPr>
                <w:rStyle w:val="Collegamentoipertestuale"/>
                <w:b/>
                <w:color w:val="C00000"/>
                <w:u w:val="none"/>
              </w:rPr>
            </w:pPr>
            <w:r w:rsidRPr="00DF19C7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3B245ABE" w14:textId="77777777" w:rsidR="006672C5" w:rsidRPr="006672C5" w:rsidRDefault="006672C5" w:rsidP="006672C5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6672C5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Chi intende attivare una struttura ricettiva di Villaggio turistico</w:t>
            </w:r>
            <w:r w:rsidRPr="006672C5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6672C5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deve munirsi di apposita licenza, prevista dall’art. 86 del TULPS, presentando al SUAP una SCIA.</w:t>
            </w:r>
          </w:p>
          <w:p w14:paraId="7CB9F101" w14:textId="379B74A2" w:rsidR="006672C5" w:rsidRPr="006672C5" w:rsidRDefault="006672C5" w:rsidP="006672C5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DF19C7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La SCIA deve essere presentata</w:t>
            </w:r>
            <w:r w:rsidRPr="00DF19C7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6672C5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11" w:history="1">
              <w:hyperlink r:id="rId12" w:history="1">
                <w:r w:rsidR="00F35673">
                  <w:rPr>
                    <w:rStyle w:val="Collegamentoipertestuale"/>
                    <w:b/>
                    <w:sz w:val="20"/>
                    <w:szCs w:val="20"/>
                    <w:u w:val="none"/>
                  </w:rPr>
                  <w:t>Impresainungio</w:t>
                </w:r>
                <w:r w:rsidR="00F35673">
                  <w:rPr>
                    <w:rStyle w:val="Collegamentoipertestuale"/>
                    <w:b/>
                    <w:sz w:val="20"/>
                    <w:szCs w:val="20"/>
                    <w:u w:val="none"/>
                  </w:rPr>
                  <w:t>r</w:t>
                </w:r>
                <w:r w:rsidR="00F35673">
                  <w:rPr>
                    <w:rStyle w:val="Collegamentoipertestuale"/>
                    <w:b/>
                    <w:sz w:val="20"/>
                    <w:szCs w:val="20"/>
                    <w:u w:val="none"/>
                  </w:rPr>
                  <w:t xml:space="preserve">no.gov.it </w:t>
                </w:r>
                <w:r w:rsidR="00F35673">
                  <w:rPr>
                    <w:rStyle w:val="Collegamentoipertestuale"/>
                    <w:sz w:val="20"/>
                    <w:szCs w:val="20"/>
                    <w:u w:val="none"/>
                  </w:rPr>
                  <w:t xml:space="preserve"> </w:t>
                </w:r>
              </w:hyperlink>
              <w:r w:rsidRPr="006672C5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6672C5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045FA63B" w14:textId="1FC18969" w:rsidR="006672C5" w:rsidRPr="006672C5" w:rsidRDefault="006672C5" w:rsidP="006672C5">
            <w:pPr>
              <w:spacing w:before="3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</w:pPr>
            <w:r w:rsidRPr="006672C5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284B85" w:rsidRPr="00284B85">
              <w:rPr>
                <w:b/>
                <w:color w:val="auto"/>
                <w:sz w:val="20"/>
                <w:szCs w:val="20"/>
                <w:u w:val="none"/>
              </w:rPr>
              <w:t>Strutture ricettive e Ristorazione</w:t>
            </w:r>
            <w:r w:rsidR="00DF19C7">
              <w:rPr>
                <w:b/>
                <w:color w:val="auto"/>
                <w:sz w:val="20"/>
                <w:szCs w:val="20"/>
                <w:u w:val="none"/>
              </w:rPr>
              <w:t xml:space="preserve"> (Ateco da 55 a 56) </w:t>
            </w:r>
            <w:r w:rsidRPr="006672C5">
              <w:rPr>
                <w:b/>
                <w:color w:val="auto"/>
                <w:sz w:val="20"/>
                <w:szCs w:val="20"/>
                <w:u w:val="none"/>
              </w:rPr>
              <w:t xml:space="preserve">+ Strutture ricettive + </w:t>
            </w:r>
            <w:r w:rsidRPr="006672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Campeggio/Villaggio turistico/Aree di sosta,</w:t>
            </w:r>
            <w:r w:rsidRPr="006672C5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Pr="006672C5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6672C5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6672C5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6672C5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6672C5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6672C5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6672C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6672C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Avvio, gestione, cessazione attività + </w:t>
            </w:r>
            <w:r w:rsidRPr="006672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Aprire l'attività </w:t>
            </w:r>
          </w:p>
          <w:p w14:paraId="6478EA71" w14:textId="77777777" w:rsidR="00722092" w:rsidRDefault="00722092" w:rsidP="00722092">
            <w:pPr>
              <w:ind w:left="174" w:right="318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</w:p>
          <w:p w14:paraId="4B6A763C" w14:textId="1487BC0A" w:rsidR="00DF19C7" w:rsidRDefault="00DF19C7" w:rsidP="00DF19C7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C53C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6C53C2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-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E917B9">
              <w:rPr>
                <w:color w:val="auto"/>
                <w:sz w:val="20"/>
                <w:szCs w:val="20"/>
                <w:u w:val="none"/>
              </w:rPr>
              <w:t xml:space="preserve">,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4E46B20A" w14:textId="77777777" w:rsidR="00DF19C7" w:rsidRDefault="00DF19C7" w:rsidP="00DF19C7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09290619" w14:textId="77777777" w:rsidR="00DF19C7" w:rsidRDefault="00DF19C7" w:rsidP="00DF19C7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C53C2">
              <w:rPr>
                <w:rFonts w:eastAsia="Times New Roman"/>
                <w:b/>
                <w:i/>
                <w:iCs/>
                <w:color w:val="C00000"/>
                <w:sz w:val="22"/>
                <w:szCs w:val="22"/>
                <w:u w:val="none"/>
                <w:lang w:eastAsia="it-IT"/>
              </w:rPr>
              <w:t xml:space="preserve">Cessazione o sospensione attività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3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05DBA61B" w14:textId="77777777" w:rsidR="00DF19C7" w:rsidRDefault="00DF19C7" w:rsidP="00DF19C7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5680160D" w14:textId="77777777" w:rsidR="00DF19C7" w:rsidRDefault="00DF19C7" w:rsidP="00DF19C7">
            <w:pPr>
              <w:ind w:left="174" w:right="318"/>
              <w:jc w:val="both"/>
            </w:pPr>
          </w:p>
          <w:p w14:paraId="1638799B" w14:textId="77777777" w:rsidR="00DF19C7" w:rsidRDefault="00DF19C7" w:rsidP="00DF19C7">
            <w:pPr>
              <w:ind w:left="164" w:right="312"/>
              <w:jc w:val="both"/>
            </w:pPr>
          </w:p>
          <w:p w14:paraId="6344E39B" w14:textId="755E2BD5" w:rsidR="00436374" w:rsidRPr="00AB5F1E" w:rsidRDefault="00A136B5" w:rsidP="00436374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4" w:history="1">
              <w:r w:rsidR="00436374" w:rsidRPr="005B0EC6">
                <w:rPr>
                  <w:rStyle w:val="Collegamentoipertestuale"/>
                  <w:b/>
                  <w:bCs/>
                </w:rPr>
                <w:t>Allegati</w:t>
              </w:r>
            </w:hyperlink>
            <w:r w:rsidR="00436374">
              <w:rPr>
                <w:rStyle w:val="Collegamentoipertestuale"/>
                <w:b/>
                <w:bCs/>
              </w:rPr>
              <w:t xml:space="preserve"> </w:t>
            </w:r>
            <w:r w:rsidR="00436374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436374" w:rsidRPr="00017CD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</w:t>
            </w:r>
            <w:r w:rsidR="0043637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allegati da aggiungere alla SCIA Unica o Scia condizionata, e altri correlati alla Pubblicità, Occupazione suolo pubblico</w:t>
            </w:r>
            <w:r w:rsidR="00436374" w:rsidRPr="003F4131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, TARI</w:t>
            </w:r>
            <w:r w:rsidR="0043637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. </w:t>
            </w:r>
          </w:p>
          <w:p w14:paraId="64DC8B4C" w14:textId="77777777" w:rsidR="00436374" w:rsidRDefault="00436374" w:rsidP="00436374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7BD8C237" w14:textId="46D8307E" w:rsidR="00436374" w:rsidRPr="00744B7C" w:rsidRDefault="00A136B5" w:rsidP="00436374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5" w:history="1">
              <w:r w:rsidR="00436374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ATECO </w:t>
              </w:r>
            </w:hyperlink>
            <w:r w:rsidR="00436374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436374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(da </w:t>
            </w:r>
            <w:r w:rsidR="00436374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5</w:t>
            </w:r>
            <w:r w:rsidR="00436374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5 a </w:t>
            </w:r>
            <w:r w:rsidR="00436374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56</w:t>
            </w:r>
            <w:r w:rsidR="00436374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compreso)</w:t>
            </w:r>
          </w:p>
          <w:p w14:paraId="459FAF7E" w14:textId="77777777" w:rsidR="00436374" w:rsidRDefault="00436374" w:rsidP="00436374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1A1C43D3" w14:textId="7039C88C" w:rsidR="00436374" w:rsidRPr="00A960D3" w:rsidRDefault="00436374" w:rsidP="00436374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E917B9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"Definizioni/9ST%20Tariffe%20turismo%20e%20attività%20ricettive.docx"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4962C154" w14:textId="77777777" w:rsidR="00436374" w:rsidRDefault="00436374" w:rsidP="00436374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6C9F9EE3" w14:textId="77777777" w:rsidR="00436374" w:rsidRPr="00744B7C" w:rsidRDefault="00436374" w:rsidP="00436374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429F4F78" w14:textId="5ECDB6B8" w:rsidR="00436374" w:rsidRPr="00386C01" w:rsidRDefault="00436374" w:rsidP="00436374">
            <w:pPr>
              <w:pStyle w:val="Paragrafoelenco"/>
              <w:spacing w:after="120"/>
              <w:ind w:left="164"/>
              <w:rPr>
                <w:rStyle w:val="Collegamentoipertestuale"/>
                <w:b/>
              </w:rPr>
            </w:pPr>
            <w:r>
              <w:rPr>
                <w:b/>
                <w:color w:val="0000FF"/>
              </w:rPr>
              <w:fldChar w:fldCharType="begin"/>
            </w:r>
            <w:r w:rsidR="00E917B9">
              <w:rPr>
                <w:b/>
                <w:color w:val="0000FF"/>
              </w:rPr>
              <w:instrText>HYPERLINK "Definizioni/10ST%20Tempistica.pdf"</w:instrText>
            </w:r>
            <w:r>
              <w:rPr>
                <w:b/>
                <w:color w:val="0000FF"/>
              </w:rPr>
              <w:fldChar w:fldCharType="separate"/>
            </w:r>
            <w:r w:rsidRPr="00386C01">
              <w:rPr>
                <w:rStyle w:val="Collegamentoipertestuale"/>
                <w:b/>
              </w:rPr>
              <w:t>Tempistica</w:t>
            </w:r>
          </w:p>
          <w:p w14:paraId="74B882BC" w14:textId="77777777" w:rsidR="00436374" w:rsidRDefault="00436374" w:rsidP="00436374">
            <w:pPr>
              <w:autoSpaceDE w:val="0"/>
              <w:autoSpaceDN w:val="0"/>
              <w:adjustRightInd w:val="0"/>
              <w:ind w:left="164" w:right="312"/>
              <w:jc w:val="both"/>
            </w:pPr>
            <w:r>
              <w:rPr>
                <w:b/>
                <w:color w:val="0000FF"/>
              </w:rPr>
              <w:fldChar w:fldCharType="end"/>
            </w:r>
          </w:p>
          <w:p w14:paraId="3ED88F9E" w14:textId="77777777" w:rsidR="004A5EE9" w:rsidRDefault="00A136B5" w:rsidP="004A5EE9">
            <w:pPr>
              <w:pStyle w:val="Rientrocorpodeltesto"/>
              <w:spacing w:after="0"/>
              <w:ind w:left="164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hyperlink r:id="rId16" w:history="1">
              <w:r w:rsidR="004A5EE9">
                <w:rPr>
                  <w:rStyle w:val="Collegamentoipertestuale"/>
                  <w:b/>
                  <w:bCs/>
                </w:rPr>
                <w:t>Collegamento ROSS 1000</w:t>
              </w:r>
            </w:hyperlink>
            <w:r w:rsidR="004A5EE9" w:rsidRPr="004A5EE9">
              <w:rPr>
                <w:b/>
                <w:bCs/>
                <w:color w:val="0000FF"/>
                <w:u w:val="none"/>
              </w:rPr>
              <w:t xml:space="preserve">      </w:t>
            </w:r>
            <w:hyperlink r:id="rId17" w:history="1">
              <w:r w:rsidR="004A5EE9">
                <w:rPr>
                  <w:rStyle w:val="Collegamentoipertestuale"/>
                  <w:b/>
                  <w:bCs/>
                  <w:sz w:val="20"/>
                  <w:szCs w:val="20"/>
                </w:rPr>
                <w:t>Modulo richiesta credenziali Ross 1000</w:t>
              </w:r>
            </w:hyperlink>
          </w:p>
          <w:p w14:paraId="4B29088D" w14:textId="77777777" w:rsidR="004A5EE9" w:rsidRDefault="004A5EE9" w:rsidP="00DF19C7">
            <w:pPr>
              <w:ind w:left="164" w:right="312"/>
              <w:jc w:val="both"/>
            </w:pPr>
          </w:p>
          <w:p w14:paraId="797C8BEA" w14:textId="150A6749" w:rsidR="00B35765" w:rsidRDefault="00A136B5" w:rsidP="00DF19C7">
            <w:pPr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hyperlink r:id="rId18" w:history="1">
              <w:r w:rsidR="00436374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436374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436374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36374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9" w:history="1">
              <w:r w:rsidR="00E917B9" w:rsidRPr="00A5496B">
                <w:rPr>
                  <w:rStyle w:val="Collegamentoipertestuale"/>
                  <w:b/>
                  <w:sz w:val="20"/>
                  <w:szCs w:val="20"/>
                </w:rPr>
                <w:t>TUR parte 7^</w:t>
              </w:r>
            </w:hyperlink>
            <w:r w:rsidR="00E917B9" w:rsidRPr="00945B26">
              <w:rPr>
                <w:color w:val="0000FF"/>
                <w:sz w:val="20"/>
                <w:szCs w:val="20"/>
              </w:rPr>
              <w:t xml:space="preserve"> </w:t>
            </w:r>
            <w:r w:rsidR="00B35765" w:rsidRPr="00945B26">
              <w:rPr>
                <w:color w:val="0000FF"/>
                <w:sz w:val="20"/>
                <w:szCs w:val="20"/>
              </w:rPr>
              <w:t xml:space="preserve"> </w:t>
            </w:r>
            <w:r w:rsidR="00B35765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B35765" w:rsidRPr="00BD6267">
              <w:rPr>
                <w:color w:val="auto"/>
                <w:sz w:val="20"/>
                <w:szCs w:val="20"/>
                <w:u w:val="none"/>
              </w:rPr>
              <w:t xml:space="preserve">Settore </w:t>
            </w:r>
            <w:r w:rsidR="00B35765">
              <w:rPr>
                <w:color w:val="auto"/>
                <w:sz w:val="20"/>
                <w:szCs w:val="20"/>
                <w:u w:val="none"/>
              </w:rPr>
              <w:t xml:space="preserve">attività </w:t>
            </w:r>
            <w:r w:rsidR="00B35765" w:rsidRPr="00BD6267">
              <w:rPr>
                <w:color w:val="auto"/>
                <w:sz w:val="20"/>
                <w:szCs w:val="20"/>
                <w:u w:val="none"/>
              </w:rPr>
              <w:t>turistic</w:t>
            </w:r>
            <w:r w:rsidR="00B35765">
              <w:rPr>
                <w:color w:val="auto"/>
                <w:sz w:val="20"/>
                <w:szCs w:val="20"/>
                <w:u w:val="none"/>
              </w:rPr>
              <w:t>he ricettive</w:t>
            </w:r>
            <w:r w:rsidR="00B35765" w:rsidRPr="00BD6267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26822FEC" w14:textId="77777777" w:rsidR="00B35765" w:rsidRDefault="00B35765" w:rsidP="00DF19C7">
            <w:pPr>
              <w:ind w:left="164" w:right="312"/>
              <w:jc w:val="both"/>
              <w:rPr>
                <w:b/>
                <w:color w:val="C00000"/>
                <w:sz w:val="20"/>
                <w:szCs w:val="20"/>
                <w:u w:val="none"/>
              </w:rPr>
            </w:pPr>
          </w:p>
          <w:p w14:paraId="233F9367" w14:textId="3A108319" w:rsidR="00DF19C7" w:rsidRDefault="00DF19C7" w:rsidP="00DF19C7">
            <w:pPr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hyperlink r:id="rId20" w:history="1">
              <w:r w:rsidR="008E65A8" w:rsidRPr="001A3AD3">
                <w:rPr>
                  <w:rStyle w:val="Collegamentoipertestuale"/>
                  <w:b/>
                  <w:bCs/>
                  <w:sz w:val="20"/>
                  <w:szCs w:val="20"/>
                </w:rPr>
                <w:t>Legge Regionale n. 27 del 2015</w:t>
              </w:r>
            </w:hyperlink>
            <w:r w:rsidR="008E65A8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           </w:t>
            </w:r>
            <w:hyperlink r:id="rId21" w:history="1">
              <w:r w:rsidRPr="00F72F90">
                <w:rPr>
                  <w:rStyle w:val="Collegamentoipertestuale"/>
                  <w:b/>
                  <w:bCs/>
                  <w:sz w:val="20"/>
                  <w:szCs w:val="20"/>
                </w:rPr>
                <w:t>Regolamento Regionale 19 gennaio 2018, n. 3</w:t>
              </w:r>
            </w:hyperlink>
          </w:p>
          <w:p w14:paraId="294FB7F1" w14:textId="77777777" w:rsidR="00EA785A" w:rsidRPr="0041512A" w:rsidRDefault="00EA785A" w:rsidP="00EA785A">
            <w:pPr>
              <w:pStyle w:val="Rientrocorpodeltesto"/>
              <w:spacing w:after="0"/>
              <w:ind w:left="164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131EB98E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47DB694A"/>
    <w:multiLevelType w:val="hybridMultilevel"/>
    <w:tmpl w:val="C492CDC0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2873F3"/>
    <w:multiLevelType w:val="hybridMultilevel"/>
    <w:tmpl w:val="F2C2A194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A46C3"/>
    <w:rsid w:val="000E4B7E"/>
    <w:rsid w:val="000F3ADF"/>
    <w:rsid w:val="00112873"/>
    <w:rsid w:val="00117F1E"/>
    <w:rsid w:val="002210DE"/>
    <w:rsid w:val="00222871"/>
    <w:rsid w:val="0023487B"/>
    <w:rsid w:val="00276654"/>
    <w:rsid w:val="00284B85"/>
    <w:rsid w:val="002A5D7C"/>
    <w:rsid w:val="002A6285"/>
    <w:rsid w:val="002B375D"/>
    <w:rsid w:val="00342D58"/>
    <w:rsid w:val="0036449F"/>
    <w:rsid w:val="003A4A32"/>
    <w:rsid w:val="003B7A23"/>
    <w:rsid w:val="003C5FBA"/>
    <w:rsid w:val="003E534A"/>
    <w:rsid w:val="0041512A"/>
    <w:rsid w:val="004257E1"/>
    <w:rsid w:val="00436374"/>
    <w:rsid w:val="0044342C"/>
    <w:rsid w:val="0045341A"/>
    <w:rsid w:val="004704B5"/>
    <w:rsid w:val="00493BD0"/>
    <w:rsid w:val="004A3A75"/>
    <w:rsid w:val="004A5EE9"/>
    <w:rsid w:val="004B299B"/>
    <w:rsid w:val="004E1091"/>
    <w:rsid w:val="004F3CF0"/>
    <w:rsid w:val="004F59C5"/>
    <w:rsid w:val="004F667B"/>
    <w:rsid w:val="00506E58"/>
    <w:rsid w:val="00563374"/>
    <w:rsid w:val="005678FC"/>
    <w:rsid w:val="005930C1"/>
    <w:rsid w:val="005C68B2"/>
    <w:rsid w:val="005C720B"/>
    <w:rsid w:val="00621A5C"/>
    <w:rsid w:val="00651378"/>
    <w:rsid w:val="006672C5"/>
    <w:rsid w:val="006852B6"/>
    <w:rsid w:val="00692827"/>
    <w:rsid w:val="006B29D2"/>
    <w:rsid w:val="006B3A13"/>
    <w:rsid w:val="006C1559"/>
    <w:rsid w:val="006C7151"/>
    <w:rsid w:val="006F2DA8"/>
    <w:rsid w:val="00705665"/>
    <w:rsid w:val="00713CEA"/>
    <w:rsid w:val="00722092"/>
    <w:rsid w:val="00726675"/>
    <w:rsid w:val="00737DA2"/>
    <w:rsid w:val="00746376"/>
    <w:rsid w:val="0075509D"/>
    <w:rsid w:val="00784027"/>
    <w:rsid w:val="008162B9"/>
    <w:rsid w:val="0082478D"/>
    <w:rsid w:val="00855A1D"/>
    <w:rsid w:val="00897F79"/>
    <w:rsid w:val="008D70B8"/>
    <w:rsid w:val="008E65A8"/>
    <w:rsid w:val="00945B26"/>
    <w:rsid w:val="00950C7F"/>
    <w:rsid w:val="00955E0E"/>
    <w:rsid w:val="00992ED0"/>
    <w:rsid w:val="009A4645"/>
    <w:rsid w:val="00A06B50"/>
    <w:rsid w:val="00A136B5"/>
    <w:rsid w:val="00AA458C"/>
    <w:rsid w:val="00AE65BE"/>
    <w:rsid w:val="00AF593D"/>
    <w:rsid w:val="00B0731C"/>
    <w:rsid w:val="00B35765"/>
    <w:rsid w:val="00B44D26"/>
    <w:rsid w:val="00B66F7C"/>
    <w:rsid w:val="00BF42AE"/>
    <w:rsid w:val="00C06E40"/>
    <w:rsid w:val="00C459E8"/>
    <w:rsid w:val="00C75D34"/>
    <w:rsid w:val="00CD592E"/>
    <w:rsid w:val="00D16B5E"/>
    <w:rsid w:val="00DC5DC3"/>
    <w:rsid w:val="00DF0435"/>
    <w:rsid w:val="00DF19C7"/>
    <w:rsid w:val="00E0215A"/>
    <w:rsid w:val="00E25843"/>
    <w:rsid w:val="00E660BB"/>
    <w:rsid w:val="00E72770"/>
    <w:rsid w:val="00E917B9"/>
    <w:rsid w:val="00EA785A"/>
    <w:rsid w:val="00EB1403"/>
    <w:rsid w:val="00ED540E"/>
    <w:rsid w:val="00EE371A"/>
    <w:rsid w:val="00F2381A"/>
    <w:rsid w:val="00F312D0"/>
    <w:rsid w:val="00F33A15"/>
    <w:rsid w:val="00F35673"/>
    <w:rsid w:val="00F60F0A"/>
    <w:rsid w:val="00F72F90"/>
    <w:rsid w:val="00F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94DD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elombardia.consiglio.regione.lombardia.it/NormeLombardia/Accessibile/main.aspx?exp_coll=rr002018011900003&amp;view=showdoc&amp;iddoc=rr002018011900003&amp;selnode=rr002018011900003" TargetMode="External"/><Relationship Id="rId13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8" Type="http://schemas.openxmlformats.org/officeDocument/2006/relationships/hyperlink" Target="file:///C:\Walter\sportello%20unico\Progetto%20PUC\PUC\5%20Procedimenti\Definizioni\Riferimenti%20normativi%20e%20di%20controllo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ormelombardia.consiglio.regione.lombardia.it/NormeLombardia/Accessibile/main.aspx?exp_coll=rr002018011900003&amp;view=showdoc&amp;iddoc=rr002018011900003&amp;selnode=rr002018011900003" TargetMode="External"/><Relationship Id="rId7" Type="http://schemas.openxmlformats.org/officeDocument/2006/relationships/hyperlink" Target="file:///C:\Walter\Comuni\Valgreghentino\Progetto%20PUC\PROGRAMMAZIONE\AREE.docx" TargetMode="External"/><Relationship Id="rId12" Type="http://schemas.openxmlformats.org/officeDocument/2006/relationships/hyperlink" Target="http://www.impresainungiorno.gov.it/web/guest/comune?codCatastale=L581" TargetMode="External"/><Relationship Id="rId17" Type="http://schemas.openxmlformats.org/officeDocument/2006/relationships/hyperlink" Target="file:///C:\Walter\sportello%20unico\Progetto%20PUC\PROCEDIMENTI\7%20Settore%20Turistico\Modulistica\9ST%20Modulo_RichiestaCredenziali%20ROSS%20100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ussituristici.servizirl.it/Turismo5/app/" TargetMode="External"/><Relationship Id="rId20" Type="http://schemas.openxmlformats.org/officeDocument/2006/relationships/hyperlink" Target="https://normelombardia.consiglio.regione.lombardia.it/normelombardia/Accessibile/main.aspx?exp_coll=lr002015100100027&amp;view=showdoc&amp;iddoc=lr002015100100027&amp;selnode=lr002015100100027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http://www.impresainungiorno.gov.it/web/guest/comune?codCatastale=B137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../../ATECO/Ateco%20Ricettivo_Ristoranti.xlsx" TargetMode="External"/><Relationship Id="rId23" Type="http://schemas.openxmlformats.org/officeDocument/2006/relationships/theme" Target="theme/theme1.xml"/><Relationship Id="rId10" Type="http://schemas.openxmlformats.org/officeDocument/2006/relationships/hyperlink" Target="Definizioni/6ST%20Attivit&#224;%20accessorie%20o%20complementari.pdf" TargetMode="External"/><Relationship Id="rId19" Type="http://schemas.openxmlformats.org/officeDocument/2006/relationships/hyperlink" Target="file:///C:\Walter\sportello%20unico\Progetto%20PUC\TUR\Parte%207%5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efinizioni/5ST%20Classificazione.pdf" TargetMode="External"/><Relationship Id="rId14" Type="http://schemas.openxmlformats.org/officeDocument/2006/relationships/hyperlink" Target="Definizioni/8ST%20Allegati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33</cp:revision>
  <dcterms:created xsi:type="dcterms:W3CDTF">2018-08-03T10:03:00Z</dcterms:created>
  <dcterms:modified xsi:type="dcterms:W3CDTF">2021-06-15T21:14:00Z</dcterms:modified>
</cp:coreProperties>
</file>